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459" w:rsidRPr="007105DC" w:rsidRDefault="00713464" w:rsidP="00713464">
      <w:pPr>
        <w:spacing w:after="0" w:line="240" w:lineRule="auto"/>
        <w:jc w:val="center"/>
        <w:rPr>
          <w:rFonts w:ascii="Arial" w:eastAsia="Times New Roman" w:hAnsi="Arial" w:cs="Arial"/>
          <w:b/>
          <w:spacing w:val="20"/>
          <w:szCs w:val="24"/>
          <w:lang w:eastAsia="cs-CZ"/>
        </w:rPr>
      </w:pPr>
      <w:r w:rsidRPr="007105DC">
        <w:rPr>
          <w:rFonts w:ascii="Arial" w:eastAsia="Times New Roman" w:hAnsi="Arial" w:cs="Arial"/>
          <w:b/>
          <w:spacing w:val="20"/>
          <w:sz w:val="28"/>
          <w:szCs w:val="24"/>
          <w:lang w:eastAsia="cs-CZ"/>
        </w:rPr>
        <w:t xml:space="preserve">EVIDENCE </w:t>
      </w:r>
      <w:r w:rsidR="007105DC" w:rsidRPr="007105DC">
        <w:rPr>
          <w:rFonts w:ascii="Arial" w:eastAsia="Times New Roman" w:hAnsi="Arial" w:cs="Arial"/>
          <w:b/>
          <w:spacing w:val="20"/>
          <w:sz w:val="28"/>
          <w:szCs w:val="24"/>
          <w:lang w:eastAsia="cs-CZ"/>
        </w:rPr>
        <w:t xml:space="preserve">dle zákona </w:t>
      </w:r>
      <w:r w:rsidR="007105DC" w:rsidRPr="007105DC">
        <w:rPr>
          <w:rFonts w:ascii="Arial" w:eastAsia="Times New Roman" w:hAnsi="Arial" w:cs="Arial"/>
          <w:b/>
          <w:spacing w:val="20"/>
          <w:sz w:val="28"/>
          <w:szCs w:val="24"/>
          <w:lang w:eastAsia="cs-CZ"/>
        </w:rPr>
        <w:t>č. 256/2001 Sb.</w:t>
      </w:r>
      <w:r w:rsidR="007105DC" w:rsidRPr="007105DC">
        <w:rPr>
          <w:rFonts w:ascii="Arial" w:eastAsia="Times New Roman" w:hAnsi="Arial" w:cs="Arial"/>
          <w:b/>
          <w:spacing w:val="20"/>
          <w:sz w:val="28"/>
          <w:szCs w:val="24"/>
          <w:lang w:eastAsia="cs-CZ"/>
        </w:rPr>
        <w:t>, O pohřebnictví, § 21</w:t>
      </w:r>
    </w:p>
    <w:p w:rsidR="00713464" w:rsidRDefault="00713464" w:rsidP="00713464">
      <w:pPr>
        <w:spacing w:after="0" w:line="240" w:lineRule="auto"/>
        <w:jc w:val="center"/>
        <w:rPr>
          <w:rFonts w:ascii="Times New Roman" w:eastAsia="Times New Roman" w:hAnsi="Times New Roman" w:cs="Times New Roman"/>
          <w:b/>
          <w:sz w:val="24"/>
          <w:szCs w:val="24"/>
          <w:lang w:eastAsia="cs-CZ"/>
        </w:rPr>
      </w:pPr>
    </w:p>
    <w:tbl>
      <w:tblPr>
        <w:tblStyle w:val="Mkatabulky"/>
        <w:tblW w:w="0" w:type="auto"/>
        <w:jc w:val="center"/>
        <w:tblInd w:w="1809" w:type="dxa"/>
        <w:tblLook w:val="04A0" w:firstRow="1" w:lastRow="0" w:firstColumn="1" w:lastColumn="0" w:noHBand="0" w:noVBand="1"/>
      </w:tblPr>
      <w:tblGrid>
        <w:gridCol w:w="3261"/>
        <w:gridCol w:w="2551"/>
      </w:tblGrid>
      <w:tr w:rsidR="00713464" w:rsidTr="007105DC">
        <w:trPr>
          <w:trHeight w:val="567"/>
          <w:jc w:val="center"/>
        </w:trPr>
        <w:tc>
          <w:tcPr>
            <w:tcW w:w="3261" w:type="dxa"/>
            <w:shd w:val="clear" w:color="auto" w:fill="D9D9D9" w:themeFill="background1" w:themeFillShade="D9"/>
            <w:vAlign w:val="center"/>
          </w:tcPr>
          <w:p w:rsidR="00713464" w:rsidRPr="007105DC" w:rsidRDefault="00713464" w:rsidP="007105DC">
            <w:pPr>
              <w:rPr>
                <w:rFonts w:ascii="Arial" w:eastAsia="Times New Roman" w:hAnsi="Arial" w:cs="Arial"/>
                <w:sz w:val="20"/>
                <w:szCs w:val="24"/>
                <w:lang w:eastAsia="cs-CZ"/>
              </w:rPr>
            </w:pPr>
            <w:r w:rsidRPr="007105DC">
              <w:rPr>
                <w:rFonts w:ascii="Arial" w:eastAsia="Times New Roman" w:hAnsi="Arial" w:cs="Arial"/>
                <w:sz w:val="20"/>
                <w:szCs w:val="24"/>
                <w:lang w:eastAsia="cs-CZ"/>
              </w:rPr>
              <w:t>Hrobové místo číslo:</w:t>
            </w:r>
          </w:p>
        </w:tc>
        <w:tc>
          <w:tcPr>
            <w:tcW w:w="2551" w:type="dxa"/>
          </w:tcPr>
          <w:p w:rsidR="00713464" w:rsidRPr="007105DC" w:rsidRDefault="00713464" w:rsidP="00713464">
            <w:pPr>
              <w:jc w:val="center"/>
              <w:rPr>
                <w:rFonts w:ascii="Arial" w:eastAsia="Times New Roman" w:hAnsi="Arial" w:cs="Arial"/>
                <w:sz w:val="20"/>
                <w:szCs w:val="24"/>
                <w:lang w:eastAsia="cs-CZ"/>
              </w:rPr>
            </w:pPr>
          </w:p>
        </w:tc>
      </w:tr>
      <w:tr w:rsidR="00713464" w:rsidTr="007105DC">
        <w:trPr>
          <w:trHeight w:val="567"/>
          <w:jc w:val="center"/>
        </w:trPr>
        <w:tc>
          <w:tcPr>
            <w:tcW w:w="3261" w:type="dxa"/>
            <w:shd w:val="clear" w:color="auto" w:fill="D9D9D9" w:themeFill="background1" w:themeFillShade="D9"/>
            <w:vAlign w:val="center"/>
          </w:tcPr>
          <w:p w:rsidR="00713464" w:rsidRPr="007105DC" w:rsidRDefault="00713464" w:rsidP="007105DC">
            <w:pPr>
              <w:rPr>
                <w:rFonts w:ascii="Arial" w:eastAsia="Times New Roman" w:hAnsi="Arial" w:cs="Arial"/>
                <w:sz w:val="20"/>
                <w:szCs w:val="24"/>
                <w:lang w:eastAsia="cs-CZ"/>
              </w:rPr>
            </w:pPr>
            <w:r w:rsidRPr="007105DC">
              <w:rPr>
                <w:rFonts w:ascii="Arial" w:eastAsia="Times New Roman" w:hAnsi="Arial" w:cs="Arial"/>
                <w:sz w:val="20"/>
                <w:szCs w:val="24"/>
                <w:lang w:eastAsia="cs-CZ"/>
              </w:rPr>
              <w:t>Rozloha</w:t>
            </w:r>
            <w:r w:rsidRPr="007105DC">
              <w:rPr>
                <w:rFonts w:ascii="Arial" w:eastAsia="Times New Roman" w:hAnsi="Arial" w:cs="Arial"/>
                <w:sz w:val="20"/>
                <w:szCs w:val="24"/>
                <w:lang w:eastAsia="cs-CZ"/>
              </w:rPr>
              <w:t xml:space="preserve"> v m</w:t>
            </w:r>
            <w:r w:rsidRPr="007105DC">
              <w:rPr>
                <w:rFonts w:ascii="Arial" w:eastAsia="Times New Roman" w:hAnsi="Arial" w:cs="Arial"/>
                <w:sz w:val="20"/>
                <w:szCs w:val="24"/>
                <w:vertAlign w:val="superscript"/>
                <w:lang w:eastAsia="cs-CZ"/>
              </w:rPr>
              <w:t>2</w:t>
            </w:r>
            <w:r w:rsidRPr="007105DC">
              <w:rPr>
                <w:rFonts w:ascii="Arial" w:eastAsia="Times New Roman" w:hAnsi="Arial" w:cs="Arial"/>
                <w:sz w:val="20"/>
                <w:szCs w:val="24"/>
                <w:lang w:eastAsia="cs-CZ"/>
              </w:rPr>
              <w:t>:</w:t>
            </w:r>
          </w:p>
        </w:tc>
        <w:tc>
          <w:tcPr>
            <w:tcW w:w="2551" w:type="dxa"/>
          </w:tcPr>
          <w:p w:rsidR="00713464" w:rsidRPr="007105DC" w:rsidRDefault="00713464" w:rsidP="00713464">
            <w:pPr>
              <w:jc w:val="center"/>
              <w:rPr>
                <w:rFonts w:ascii="Arial" w:eastAsia="Times New Roman" w:hAnsi="Arial" w:cs="Arial"/>
                <w:sz w:val="20"/>
                <w:szCs w:val="24"/>
                <w:lang w:eastAsia="cs-CZ"/>
              </w:rPr>
            </w:pPr>
          </w:p>
        </w:tc>
      </w:tr>
    </w:tbl>
    <w:p w:rsidR="00DD32DC" w:rsidRDefault="00DD32DC" w:rsidP="00DD32DC">
      <w:pPr>
        <w:spacing w:after="0" w:line="240" w:lineRule="auto"/>
        <w:rPr>
          <w:rFonts w:ascii="Times New Roman" w:eastAsia="Times New Roman" w:hAnsi="Times New Roman" w:cs="Times New Roman"/>
          <w:sz w:val="20"/>
          <w:szCs w:val="20"/>
          <w:lang w:eastAsia="cs-CZ"/>
        </w:rPr>
      </w:pPr>
    </w:p>
    <w:tbl>
      <w:tblPr>
        <w:tblStyle w:val="Mkatabulky"/>
        <w:tblW w:w="0" w:type="auto"/>
        <w:jc w:val="center"/>
        <w:tblInd w:w="108" w:type="dxa"/>
        <w:tblLook w:val="04A0" w:firstRow="1" w:lastRow="0" w:firstColumn="1" w:lastColumn="0" w:noHBand="0" w:noVBand="1"/>
      </w:tblPr>
      <w:tblGrid>
        <w:gridCol w:w="426"/>
        <w:gridCol w:w="8678"/>
      </w:tblGrid>
      <w:tr w:rsidR="00DD32DC" w:rsidRPr="00713464" w:rsidTr="007105DC">
        <w:trPr>
          <w:jc w:val="center"/>
        </w:trPr>
        <w:tc>
          <w:tcPr>
            <w:tcW w:w="426" w:type="dxa"/>
            <w:vMerge w:val="restart"/>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a</w:t>
            </w:r>
            <w:r w:rsidR="00713464" w:rsidRPr="00713464">
              <w:rPr>
                <w:rFonts w:ascii="Arial Narrow" w:eastAsia="Times New Roman" w:hAnsi="Arial Narrow" w:cs="Arial"/>
                <w:sz w:val="20"/>
                <w:szCs w:val="20"/>
                <w:lang w:eastAsia="cs-CZ"/>
              </w:rPr>
              <w:t>)</w:t>
            </w:r>
          </w:p>
        </w:tc>
        <w:tc>
          <w:tcPr>
            <w:tcW w:w="8678" w:type="dxa"/>
          </w:tcPr>
          <w:p w:rsidR="00DD32DC" w:rsidRPr="007105DC" w:rsidRDefault="00DD32DC" w:rsidP="00DD32DC">
            <w:pPr>
              <w:rPr>
                <w:rFonts w:ascii="Arial Narrow" w:eastAsia="Times New Roman" w:hAnsi="Arial Narrow" w:cs="Arial"/>
                <w:sz w:val="56"/>
                <w:szCs w:val="48"/>
                <w:lang w:eastAsia="cs-CZ"/>
              </w:rPr>
            </w:pPr>
          </w:p>
        </w:tc>
      </w:tr>
      <w:tr w:rsidR="00DD32DC" w:rsidRPr="00713464" w:rsidTr="007105DC">
        <w:trPr>
          <w:jc w:val="center"/>
        </w:trPr>
        <w:tc>
          <w:tcPr>
            <w:tcW w:w="426" w:type="dxa"/>
            <w:vMerge/>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DD32DC" w:rsidRPr="007105DC" w:rsidRDefault="00DD32DC" w:rsidP="00DD32DC">
            <w:pPr>
              <w:rPr>
                <w:rFonts w:ascii="Arial Narrow" w:eastAsia="Times New Roman" w:hAnsi="Arial Narrow" w:cs="Arial"/>
                <w:i/>
                <w:sz w:val="18"/>
                <w:szCs w:val="20"/>
                <w:lang w:eastAsia="cs-CZ"/>
              </w:rPr>
            </w:pPr>
            <w:r w:rsidRPr="007105DC">
              <w:rPr>
                <w:rFonts w:ascii="Arial Narrow" w:eastAsia="Times New Roman" w:hAnsi="Arial Narrow" w:cs="Arial"/>
                <w:i/>
                <w:sz w:val="18"/>
                <w:szCs w:val="20"/>
                <w:lang w:eastAsia="cs-CZ"/>
              </w:rPr>
              <w:t>jméno a příjmení osob, jejichž lidské ostatky jsou na veřejném pohřebišti uloženy</w:t>
            </w:r>
          </w:p>
        </w:tc>
      </w:tr>
      <w:tr w:rsidR="00DD32DC" w:rsidRPr="00713464" w:rsidTr="007105DC">
        <w:trPr>
          <w:jc w:val="center"/>
        </w:trPr>
        <w:tc>
          <w:tcPr>
            <w:tcW w:w="426" w:type="dxa"/>
            <w:vMerge w:val="restart"/>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b</w:t>
            </w:r>
            <w:r w:rsidR="00713464" w:rsidRPr="00713464">
              <w:rPr>
                <w:rFonts w:ascii="Arial Narrow" w:eastAsia="Times New Roman" w:hAnsi="Arial Narrow" w:cs="Arial"/>
                <w:sz w:val="20"/>
                <w:szCs w:val="20"/>
                <w:lang w:eastAsia="cs-CZ"/>
              </w:rPr>
              <w:t>)</w:t>
            </w:r>
          </w:p>
        </w:tc>
        <w:tc>
          <w:tcPr>
            <w:tcW w:w="8678" w:type="dxa"/>
          </w:tcPr>
          <w:p w:rsidR="00DD32DC" w:rsidRPr="007105DC" w:rsidRDefault="00DD32DC" w:rsidP="00DD32DC">
            <w:pPr>
              <w:rPr>
                <w:rFonts w:ascii="Arial Narrow" w:eastAsia="Times New Roman" w:hAnsi="Arial Narrow" w:cs="Arial"/>
                <w:i/>
                <w:sz w:val="56"/>
                <w:szCs w:val="48"/>
                <w:lang w:eastAsia="cs-CZ"/>
              </w:rPr>
            </w:pPr>
          </w:p>
        </w:tc>
      </w:tr>
      <w:tr w:rsidR="00DD32DC" w:rsidRPr="00713464" w:rsidTr="007105DC">
        <w:trPr>
          <w:jc w:val="center"/>
        </w:trPr>
        <w:tc>
          <w:tcPr>
            <w:tcW w:w="426" w:type="dxa"/>
            <w:vMerge/>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DD32DC" w:rsidRPr="007105DC" w:rsidRDefault="00DD32DC" w:rsidP="00DD32DC">
            <w:pPr>
              <w:tabs>
                <w:tab w:val="left" w:pos="4145"/>
              </w:tabs>
              <w:rPr>
                <w:rFonts w:ascii="Arial Narrow" w:eastAsia="Times New Roman" w:hAnsi="Arial Narrow" w:cs="Arial"/>
                <w:sz w:val="18"/>
                <w:szCs w:val="20"/>
                <w:lang w:eastAsia="cs-CZ"/>
              </w:rPr>
            </w:pPr>
            <w:r w:rsidRPr="007105DC">
              <w:rPr>
                <w:rFonts w:ascii="Arial Narrow" w:eastAsia="Times New Roman" w:hAnsi="Arial Narrow" w:cs="Arial"/>
                <w:i/>
                <w:sz w:val="18"/>
                <w:szCs w:val="20"/>
                <w:lang w:eastAsia="cs-CZ"/>
              </w:rPr>
              <w:t xml:space="preserve">místo </w:t>
            </w:r>
            <w:r w:rsidRPr="007105DC">
              <w:rPr>
                <w:rFonts w:ascii="Arial Narrow" w:eastAsia="Times New Roman" w:hAnsi="Arial Narrow" w:cs="Arial"/>
                <w:i/>
                <w:sz w:val="18"/>
                <w:szCs w:val="20"/>
                <w:lang w:eastAsia="cs-CZ"/>
              </w:rPr>
              <w:t xml:space="preserve">a datum jejich narození </w:t>
            </w:r>
            <w:r w:rsidRPr="007105DC">
              <w:rPr>
                <w:rFonts w:ascii="Arial Narrow" w:eastAsia="Times New Roman" w:hAnsi="Arial Narrow" w:cs="Arial"/>
                <w:i/>
                <w:sz w:val="18"/>
                <w:szCs w:val="20"/>
                <w:lang w:eastAsia="cs-CZ"/>
              </w:rPr>
              <w:tab/>
            </w:r>
            <w:r w:rsidRPr="007105DC">
              <w:rPr>
                <w:rFonts w:ascii="Arial Narrow" w:eastAsia="Times New Roman" w:hAnsi="Arial Narrow" w:cs="Arial"/>
                <w:i/>
                <w:sz w:val="18"/>
                <w:szCs w:val="20"/>
                <w:lang w:eastAsia="cs-CZ"/>
              </w:rPr>
              <w:t xml:space="preserve">místo a datum jejich </w:t>
            </w:r>
            <w:r w:rsidRPr="007105DC">
              <w:rPr>
                <w:rFonts w:ascii="Arial Narrow" w:eastAsia="Times New Roman" w:hAnsi="Arial Narrow" w:cs="Arial"/>
                <w:i/>
                <w:sz w:val="18"/>
                <w:szCs w:val="20"/>
                <w:lang w:eastAsia="cs-CZ"/>
              </w:rPr>
              <w:t>úmrtí</w:t>
            </w:r>
          </w:p>
        </w:tc>
      </w:tr>
      <w:tr w:rsidR="00DD32DC" w:rsidRPr="00713464" w:rsidTr="007105DC">
        <w:trPr>
          <w:jc w:val="center"/>
        </w:trPr>
        <w:tc>
          <w:tcPr>
            <w:tcW w:w="426" w:type="dxa"/>
            <w:vMerge w:val="restart"/>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c</w:t>
            </w:r>
            <w:r w:rsidR="00713464" w:rsidRPr="00713464">
              <w:rPr>
                <w:rFonts w:ascii="Arial Narrow" w:eastAsia="Times New Roman" w:hAnsi="Arial Narrow" w:cs="Arial"/>
                <w:sz w:val="20"/>
                <w:szCs w:val="20"/>
                <w:lang w:eastAsia="cs-CZ"/>
              </w:rPr>
              <w:t>)</w:t>
            </w:r>
          </w:p>
        </w:tc>
        <w:tc>
          <w:tcPr>
            <w:tcW w:w="8678" w:type="dxa"/>
          </w:tcPr>
          <w:p w:rsidR="00DD32DC" w:rsidRPr="007105DC" w:rsidRDefault="00DD32DC" w:rsidP="00DD32DC">
            <w:pPr>
              <w:rPr>
                <w:rFonts w:ascii="Arial Narrow" w:eastAsia="Times New Roman" w:hAnsi="Arial Narrow" w:cs="Arial"/>
                <w:sz w:val="56"/>
                <w:szCs w:val="48"/>
                <w:lang w:eastAsia="cs-CZ"/>
              </w:rPr>
            </w:pPr>
          </w:p>
        </w:tc>
      </w:tr>
      <w:tr w:rsidR="00DD32DC" w:rsidRPr="00713464" w:rsidTr="007105DC">
        <w:trPr>
          <w:jc w:val="center"/>
        </w:trPr>
        <w:tc>
          <w:tcPr>
            <w:tcW w:w="426" w:type="dxa"/>
            <w:vMerge/>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DD32DC" w:rsidRPr="007105DC" w:rsidRDefault="00DD32DC" w:rsidP="00DD32DC">
            <w:pPr>
              <w:rPr>
                <w:rFonts w:ascii="Arial Narrow" w:eastAsia="Times New Roman" w:hAnsi="Arial Narrow" w:cs="Arial"/>
                <w:sz w:val="20"/>
                <w:szCs w:val="20"/>
                <w:lang w:eastAsia="cs-CZ"/>
              </w:rPr>
            </w:pPr>
            <w:r w:rsidRPr="007105DC">
              <w:rPr>
                <w:rFonts w:ascii="Arial Narrow" w:eastAsia="Times New Roman" w:hAnsi="Arial Narrow" w:cs="Arial"/>
                <w:i/>
                <w:sz w:val="18"/>
                <w:szCs w:val="20"/>
                <w:lang w:eastAsia="cs-CZ"/>
              </w:rPr>
              <w:t>rodné číslo</w:t>
            </w:r>
          </w:p>
        </w:tc>
      </w:tr>
      <w:tr w:rsidR="00DD32DC" w:rsidRPr="00713464" w:rsidTr="007105DC">
        <w:trPr>
          <w:jc w:val="center"/>
        </w:trPr>
        <w:tc>
          <w:tcPr>
            <w:tcW w:w="426" w:type="dxa"/>
            <w:vMerge w:val="restart"/>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d</w:t>
            </w:r>
            <w:r w:rsidR="00713464" w:rsidRPr="00713464">
              <w:rPr>
                <w:rFonts w:ascii="Arial Narrow" w:eastAsia="Times New Roman" w:hAnsi="Arial Narrow" w:cs="Arial"/>
                <w:sz w:val="20"/>
                <w:szCs w:val="20"/>
                <w:lang w:eastAsia="cs-CZ"/>
              </w:rPr>
              <w:t>)</w:t>
            </w:r>
          </w:p>
        </w:tc>
        <w:tc>
          <w:tcPr>
            <w:tcW w:w="8678" w:type="dxa"/>
          </w:tcPr>
          <w:p w:rsidR="00DD32DC" w:rsidRPr="007105DC" w:rsidRDefault="00DD32DC" w:rsidP="00DD32DC">
            <w:pPr>
              <w:rPr>
                <w:rFonts w:ascii="Arial Narrow" w:eastAsia="Times New Roman" w:hAnsi="Arial Narrow" w:cs="Arial"/>
                <w:sz w:val="56"/>
                <w:szCs w:val="40"/>
                <w:lang w:eastAsia="cs-CZ"/>
              </w:rPr>
            </w:pPr>
          </w:p>
        </w:tc>
      </w:tr>
      <w:tr w:rsidR="00DD32DC" w:rsidRPr="00713464" w:rsidTr="007105DC">
        <w:trPr>
          <w:jc w:val="center"/>
        </w:trPr>
        <w:tc>
          <w:tcPr>
            <w:tcW w:w="426" w:type="dxa"/>
            <w:vMerge/>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DD32DC" w:rsidRPr="007105DC" w:rsidRDefault="00DD32DC" w:rsidP="00DD32DC">
            <w:pPr>
              <w:rPr>
                <w:rFonts w:ascii="Arial Narrow" w:eastAsia="Times New Roman" w:hAnsi="Arial Narrow" w:cs="Arial"/>
                <w:sz w:val="20"/>
                <w:szCs w:val="20"/>
                <w:lang w:eastAsia="cs-CZ"/>
              </w:rPr>
            </w:pPr>
            <w:r w:rsidRPr="007105DC">
              <w:rPr>
                <w:rFonts w:ascii="Arial Narrow" w:eastAsia="Times New Roman" w:hAnsi="Arial Narrow" w:cs="Arial"/>
                <w:i/>
                <w:sz w:val="18"/>
                <w:szCs w:val="20"/>
                <w:lang w:eastAsia="cs-CZ"/>
              </w:rPr>
              <w:t>datum uložení lidských pozůstatků nebo zpopelněných lidských ostatků na veřejném pohřebišti včetně určení hrobového místa a hloubky pohřbení; u zpopelněných lidských ostatků způsob uložení jejich popela a v případě vsypu i místo jejich uložení</w:t>
            </w:r>
          </w:p>
        </w:tc>
      </w:tr>
      <w:tr w:rsidR="00DD32DC" w:rsidRPr="00713464" w:rsidTr="007105DC">
        <w:trPr>
          <w:jc w:val="center"/>
        </w:trPr>
        <w:tc>
          <w:tcPr>
            <w:tcW w:w="426" w:type="dxa"/>
            <w:vMerge w:val="restart"/>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e</w:t>
            </w:r>
            <w:r w:rsidR="00713464" w:rsidRPr="00713464">
              <w:rPr>
                <w:rFonts w:ascii="Arial Narrow" w:eastAsia="Times New Roman" w:hAnsi="Arial Narrow" w:cs="Arial"/>
                <w:sz w:val="20"/>
                <w:szCs w:val="20"/>
                <w:lang w:eastAsia="cs-CZ"/>
              </w:rPr>
              <w:t>)</w:t>
            </w:r>
          </w:p>
        </w:tc>
        <w:tc>
          <w:tcPr>
            <w:tcW w:w="8678" w:type="dxa"/>
          </w:tcPr>
          <w:p w:rsidR="00DD32DC" w:rsidRPr="007105DC" w:rsidRDefault="00DD32DC" w:rsidP="00DD32DC">
            <w:pPr>
              <w:rPr>
                <w:rFonts w:ascii="Arial Narrow" w:eastAsia="Times New Roman" w:hAnsi="Arial Narrow" w:cs="Arial"/>
                <w:sz w:val="56"/>
                <w:szCs w:val="48"/>
                <w:lang w:eastAsia="cs-CZ"/>
              </w:rPr>
            </w:pPr>
          </w:p>
        </w:tc>
      </w:tr>
      <w:tr w:rsidR="00DD32DC" w:rsidRPr="00713464" w:rsidTr="007105DC">
        <w:trPr>
          <w:jc w:val="center"/>
        </w:trPr>
        <w:tc>
          <w:tcPr>
            <w:tcW w:w="426" w:type="dxa"/>
            <w:vMerge/>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DD32DC" w:rsidRPr="007105DC" w:rsidRDefault="00DD32DC" w:rsidP="00DD32DC">
            <w:pPr>
              <w:rPr>
                <w:rFonts w:ascii="Arial Narrow" w:eastAsia="Times New Roman" w:hAnsi="Arial Narrow" w:cs="Arial"/>
                <w:sz w:val="20"/>
                <w:szCs w:val="20"/>
                <w:lang w:eastAsia="cs-CZ"/>
              </w:rPr>
            </w:pPr>
            <w:r w:rsidRPr="007105DC">
              <w:rPr>
                <w:rFonts w:ascii="Arial Narrow" w:eastAsia="Times New Roman" w:hAnsi="Arial Narrow" w:cs="Arial"/>
                <w:i/>
                <w:sz w:val="18"/>
                <w:szCs w:val="20"/>
                <w:lang w:eastAsia="cs-CZ"/>
              </w:rPr>
              <w:t>záznam o nebezpečné nemoci, pokud osoba, jejíž lidské pozůstatky byly uloženy do hrobu nebo hro</w:t>
            </w:r>
            <w:r w:rsidRPr="007105DC">
              <w:rPr>
                <w:rFonts w:ascii="Arial Narrow" w:eastAsia="Times New Roman" w:hAnsi="Arial Narrow" w:cs="Arial"/>
                <w:i/>
                <w:sz w:val="18"/>
                <w:szCs w:val="20"/>
                <w:lang w:eastAsia="cs-CZ"/>
              </w:rPr>
              <w:t>bky, byla touto nemocí nakažena</w:t>
            </w:r>
          </w:p>
        </w:tc>
      </w:tr>
      <w:tr w:rsidR="00DD32DC" w:rsidRPr="00713464" w:rsidTr="007105DC">
        <w:trPr>
          <w:jc w:val="center"/>
        </w:trPr>
        <w:tc>
          <w:tcPr>
            <w:tcW w:w="426" w:type="dxa"/>
            <w:vMerge w:val="restart"/>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f</w:t>
            </w:r>
            <w:r w:rsidR="00713464" w:rsidRPr="00713464">
              <w:rPr>
                <w:rFonts w:ascii="Arial Narrow" w:eastAsia="Times New Roman" w:hAnsi="Arial Narrow" w:cs="Arial"/>
                <w:sz w:val="20"/>
                <w:szCs w:val="20"/>
                <w:lang w:eastAsia="cs-CZ"/>
              </w:rPr>
              <w:t>)</w:t>
            </w:r>
          </w:p>
        </w:tc>
        <w:tc>
          <w:tcPr>
            <w:tcW w:w="8678" w:type="dxa"/>
          </w:tcPr>
          <w:p w:rsidR="00DD32DC" w:rsidRPr="007105DC" w:rsidRDefault="00DD32DC" w:rsidP="00DD32DC">
            <w:pPr>
              <w:rPr>
                <w:rFonts w:ascii="Arial Narrow" w:eastAsia="Times New Roman" w:hAnsi="Arial Narrow" w:cs="Arial"/>
                <w:sz w:val="56"/>
                <w:szCs w:val="48"/>
                <w:lang w:eastAsia="cs-CZ"/>
              </w:rPr>
            </w:pPr>
          </w:p>
        </w:tc>
      </w:tr>
      <w:tr w:rsidR="00DD32DC" w:rsidRPr="00713464" w:rsidTr="007105DC">
        <w:trPr>
          <w:jc w:val="center"/>
        </w:trPr>
        <w:tc>
          <w:tcPr>
            <w:tcW w:w="426" w:type="dxa"/>
            <w:vMerge/>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DD32DC" w:rsidRPr="007105DC" w:rsidRDefault="00DD32DC" w:rsidP="00DD32DC">
            <w:pPr>
              <w:rPr>
                <w:rFonts w:ascii="Arial Narrow" w:eastAsia="Times New Roman" w:hAnsi="Arial Narrow" w:cs="Arial"/>
                <w:sz w:val="20"/>
                <w:szCs w:val="20"/>
                <w:lang w:eastAsia="cs-CZ"/>
              </w:rPr>
            </w:pPr>
            <w:r w:rsidRPr="007105DC">
              <w:rPr>
                <w:rFonts w:ascii="Arial Narrow" w:eastAsia="Times New Roman" w:hAnsi="Arial Narrow" w:cs="Arial"/>
                <w:i/>
                <w:sz w:val="18"/>
                <w:szCs w:val="20"/>
                <w:lang w:eastAsia="cs-CZ"/>
              </w:rPr>
              <w:t>jméno, příjmení, adresu místa trvalého pobytu a rodné číslo nájemce hrobového místa, jde-li o fyzickou osobu, nebo obchodní jméno, nebo název firmy, sídlo a identifikační číslo nájemce hrobového m</w:t>
            </w:r>
            <w:r w:rsidRPr="007105DC">
              <w:rPr>
                <w:rFonts w:ascii="Arial Narrow" w:eastAsia="Times New Roman" w:hAnsi="Arial Narrow" w:cs="Arial"/>
                <w:i/>
                <w:sz w:val="18"/>
                <w:szCs w:val="20"/>
                <w:lang w:eastAsia="cs-CZ"/>
              </w:rPr>
              <w:t>ísta, jde-li o právnickou osobu</w:t>
            </w:r>
          </w:p>
        </w:tc>
      </w:tr>
      <w:tr w:rsidR="00DD32DC" w:rsidRPr="00713464" w:rsidTr="007105DC">
        <w:trPr>
          <w:jc w:val="center"/>
        </w:trPr>
        <w:tc>
          <w:tcPr>
            <w:tcW w:w="426" w:type="dxa"/>
            <w:vMerge w:val="restart"/>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g</w:t>
            </w:r>
            <w:r w:rsidR="00713464" w:rsidRPr="00713464">
              <w:rPr>
                <w:rFonts w:ascii="Arial Narrow" w:eastAsia="Times New Roman" w:hAnsi="Arial Narrow" w:cs="Arial"/>
                <w:sz w:val="20"/>
                <w:szCs w:val="20"/>
                <w:lang w:eastAsia="cs-CZ"/>
              </w:rPr>
              <w:t>)</w:t>
            </w:r>
          </w:p>
        </w:tc>
        <w:tc>
          <w:tcPr>
            <w:tcW w:w="8678" w:type="dxa"/>
          </w:tcPr>
          <w:p w:rsidR="00DD32DC" w:rsidRPr="007105DC" w:rsidRDefault="00DD32DC" w:rsidP="00DD32DC">
            <w:pPr>
              <w:rPr>
                <w:rFonts w:ascii="Arial Narrow" w:eastAsia="Times New Roman" w:hAnsi="Arial Narrow" w:cs="Arial"/>
                <w:sz w:val="56"/>
                <w:szCs w:val="48"/>
                <w:lang w:eastAsia="cs-CZ"/>
              </w:rPr>
            </w:pPr>
            <w:bookmarkStart w:id="0" w:name="_GoBack"/>
            <w:bookmarkEnd w:id="0"/>
          </w:p>
        </w:tc>
      </w:tr>
      <w:tr w:rsidR="00DD32DC" w:rsidRPr="00713464" w:rsidTr="007105DC">
        <w:trPr>
          <w:jc w:val="center"/>
        </w:trPr>
        <w:tc>
          <w:tcPr>
            <w:tcW w:w="426" w:type="dxa"/>
            <w:vMerge/>
            <w:shd w:val="clear" w:color="auto" w:fill="D9D9D9" w:themeFill="background1" w:themeFillShade="D9"/>
            <w:vAlign w:val="center"/>
          </w:tcPr>
          <w:p w:rsidR="00DD32DC" w:rsidRPr="00713464" w:rsidRDefault="00DD32DC"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DD32DC" w:rsidRPr="007105DC" w:rsidRDefault="00713464" w:rsidP="00DD32DC">
            <w:pPr>
              <w:rPr>
                <w:rFonts w:ascii="Arial Narrow" w:eastAsia="Times New Roman" w:hAnsi="Arial Narrow" w:cs="Arial"/>
                <w:sz w:val="20"/>
                <w:szCs w:val="20"/>
                <w:lang w:eastAsia="cs-CZ"/>
              </w:rPr>
            </w:pPr>
            <w:r w:rsidRPr="007105DC">
              <w:rPr>
                <w:rFonts w:ascii="Arial Narrow" w:eastAsia="Times New Roman" w:hAnsi="Arial Narrow" w:cs="Arial"/>
                <w:i/>
                <w:sz w:val="18"/>
                <w:szCs w:val="20"/>
                <w:lang w:eastAsia="cs-CZ"/>
              </w:rPr>
              <w:t>datum uzavření nájemní smlouvy a dobu jejího trvání včetně údajů o změně smlouvy</w:t>
            </w:r>
          </w:p>
        </w:tc>
      </w:tr>
      <w:tr w:rsidR="00713464" w:rsidRPr="00713464" w:rsidTr="007105DC">
        <w:trPr>
          <w:jc w:val="center"/>
        </w:trPr>
        <w:tc>
          <w:tcPr>
            <w:tcW w:w="426" w:type="dxa"/>
            <w:vMerge w:val="restart"/>
            <w:shd w:val="clear" w:color="auto" w:fill="D9D9D9" w:themeFill="background1" w:themeFillShade="D9"/>
            <w:vAlign w:val="center"/>
          </w:tcPr>
          <w:p w:rsidR="00713464" w:rsidRPr="00713464" w:rsidRDefault="00713464"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h)</w:t>
            </w:r>
          </w:p>
        </w:tc>
        <w:tc>
          <w:tcPr>
            <w:tcW w:w="8678" w:type="dxa"/>
          </w:tcPr>
          <w:p w:rsidR="00713464" w:rsidRPr="007105DC" w:rsidRDefault="00713464" w:rsidP="00DD32DC">
            <w:pPr>
              <w:rPr>
                <w:rFonts w:ascii="Arial Narrow" w:eastAsia="Times New Roman" w:hAnsi="Arial Narrow" w:cs="Arial"/>
                <w:sz w:val="56"/>
                <w:szCs w:val="48"/>
                <w:lang w:eastAsia="cs-CZ"/>
              </w:rPr>
            </w:pPr>
          </w:p>
        </w:tc>
      </w:tr>
      <w:tr w:rsidR="00713464" w:rsidRPr="00713464" w:rsidTr="007105DC">
        <w:trPr>
          <w:jc w:val="center"/>
        </w:trPr>
        <w:tc>
          <w:tcPr>
            <w:tcW w:w="426" w:type="dxa"/>
            <w:vMerge/>
            <w:shd w:val="clear" w:color="auto" w:fill="D9D9D9" w:themeFill="background1" w:themeFillShade="D9"/>
            <w:vAlign w:val="center"/>
          </w:tcPr>
          <w:p w:rsidR="00713464" w:rsidRPr="00713464" w:rsidRDefault="00713464"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713464" w:rsidRPr="007105DC" w:rsidRDefault="00713464" w:rsidP="00DD32DC">
            <w:pPr>
              <w:rPr>
                <w:rFonts w:ascii="Arial Narrow" w:eastAsia="Times New Roman" w:hAnsi="Arial Narrow" w:cs="Arial"/>
                <w:sz w:val="20"/>
                <w:szCs w:val="20"/>
                <w:lang w:eastAsia="cs-CZ"/>
              </w:rPr>
            </w:pPr>
            <w:r w:rsidRPr="007105DC">
              <w:rPr>
                <w:rFonts w:ascii="Arial Narrow" w:eastAsia="Times New Roman" w:hAnsi="Arial Narrow" w:cs="Arial"/>
                <w:i/>
                <w:sz w:val="18"/>
                <w:szCs w:val="20"/>
                <w:lang w:eastAsia="cs-CZ"/>
              </w:rPr>
              <w:t>záznamy o skutečnostech uvedených v § 29 odst. 4 a 5, pokud nastaly</w:t>
            </w:r>
            <w:r w:rsidRPr="007105DC">
              <w:rPr>
                <w:rFonts w:ascii="Arial Narrow" w:eastAsia="Times New Roman" w:hAnsi="Arial Narrow" w:cs="Arial"/>
                <w:i/>
                <w:sz w:val="18"/>
                <w:szCs w:val="20"/>
                <w:lang w:eastAsia="cs-CZ"/>
              </w:rPr>
              <w:t>*</w:t>
            </w:r>
          </w:p>
        </w:tc>
      </w:tr>
      <w:tr w:rsidR="00713464" w:rsidRPr="00713464" w:rsidTr="007105DC">
        <w:trPr>
          <w:jc w:val="center"/>
        </w:trPr>
        <w:tc>
          <w:tcPr>
            <w:tcW w:w="426" w:type="dxa"/>
            <w:vMerge w:val="restart"/>
            <w:shd w:val="clear" w:color="auto" w:fill="D9D9D9" w:themeFill="background1" w:themeFillShade="D9"/>
            <w:vAlign w:val="center"/>
          </w:tcPr>
          <w:p w:rsidR="00713464" w:rsidRPr="00713464" w:rsidRDefault="00713464"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i)</w:t>
            </w:r>
          </w:p>
        </w:tc>
        <w:tc>
          <w:tcPr>
            <w:tcW w:w="8678" w:type="dxa"/>
          </w:tcPr>
          <w:p w:rsidR="00713464" w:rsidRPr="007105DC" w:rsidRDefault="00713464" w:rsidP="00DD32DC">
            <w:pPr>
              <w:rPr>
                <w:rFonts w:ascii="Arial Narrow" w:eastAsia="Times New Roman" w:hAnsi="Arial Narrow" w:cs="Arial"/>
                <w:sz w:val="56"/>
                <w:szCs w:val="48"/>
                <w:lang w:eastAsia="cs-CZ"/>
              </w:rPr>
            </w:pPr>
          </w:p>
        </w:tc>
      </w:tr>
      <w:tr w:rsidR="00713464" w:rsidRPr="00713464" w:rsidTr="007105DC">
        <w:trPr>
          <w:jc w:val="center"/>
        </w:trPr>
        <w:tc>
          <w:tcPr>
            <w:tcW w:w="426" w:type="dxa"/>
            <w:vMerge/>
            <w:shd w:val="clear" w:color="auto" w:fill="D9D9D9" w:themeFill="background1" w:themeFillShade="D9"/>
            <w:vAlign w:val="center"/>
          </w:tcPr>
          <w:p w:rsidR="00713464" w:rsidRPr="00713464" w:rsidRDefault="00713464"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713464" w:rsidRPr="007105DC" w:rsidRDefault="00713464" w:rsidP="00DD32DC">
            <w:pPr>
              <w:rPr>
                <w:rFonts w:ascii="Arial Narrow" w:eastAsia="Times New Roman" w:hAnsi="Arial Narrow" w:cs="Arial"/>
                <w:sz w:val="20"/>
                <w:szCs w:val="20"/>
                <w:lang w:eastAsia="cs-CZ"/>
              </w:rPr>
            </w:pPr>
            <w:r w:rsidRPr="007105DC">
              <w:rPr>
                <w:rFonts w:ascii="Arial Narrow" w:eastAsia="Times New Roman" w:hAnsi="Arial Narrow" w:cs="Arial"/>
                <w:i/>
                <w:sz w:val="18"/>
                <w:szCs w:val="20"/>
                <w:lang w:eastAsia="cs-CZ"/>
              </w:rPr>
              <w:t>údaje o hrobovém zařízení daného hrobového místa</w:t>
            </w:r>
          </w:p>
        </w:tc>
      </w:tr>
      <w:tr w:rsidR="00713464" w:rsidRPr="00713464" w:rsidTr="007105DC">
        <w:trPr>
          <w:jc w:val="center"/>
        </w:trPr>
        <w:tc>
          <w:tcPr>
            <w:tcW w:w="426" w:type="dxa"/>
            <w:vMerge w:val="restart"/>
            <w:shd w:val="clear" w:color="auto" w:fill="D9D9D9" w:themeFill="background1" w:themeFillShade="D9"/>
            <w:vAlign w:val="center"/>
          </w:tcPr>
          <w:p w:rsidR="00713464" w:rsidRPr="00713464" w:rsidRDefault="00713464"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j)</w:t>
            </w:r>
          </w:p>
        </w:tc>
        <w:tc>
          <w:tcPr>
            <w:tcW w:w="8678" w:type="dxa"/>
          </w:tcPr>
          <w:p w:rsidR="00713464" w:rsidRPr="007105DC" w:rsidRDefault="00713464" w:rsidP="00DD32DC">
            <w:pPr>
              <w:rPr>
                <w:rFonts w:ascii="Arial Narrow" w:eastAsia="Times New Roman" w:hAnsi="Arial Narrow" w:cs="Arial"/>
                <w:sz w:val="56"/>
                <w:szCs w:val="48"/>
                <w:lang w:eastAsia="cs-CZ"/>
              </w:rPr>
            </w:pPr>
          </w:p>
        </w:tc>
      </w:tr>
      <w:tr w:rsidR="00713464" w:rsidRPr="00713464" w:rsidTr="007105DC">
        <w:trPr>
          <w:jc w:val="center"/>
        </w:trPr>
        <w:tc>
          <w:tcPr>
            <w:tcW w:w="426" w:type="dxa"/>
            <w:vMerge/>
            <w:shd w:val="clear" w:color="auto" w:fill="D9D9D9" w:themeFill="background1" w:themeFillShade="D9"/>
            <w:vAlign w:val="center"/>
          </w:tcPr>
          <w:p w:rsidR="00713464" w:rsidRPr="00713464" w:rsidRDefault="00713464"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713464" w:rsidRPr="007105DC" w:rsidRDefault="00713464" w:rsidP="00713464">
            <w:pPr>
              <w:rPr>
                <w:rFonts w:ascii="Arial Narrow" w:eastAsia="Times New Roman" w:hAnsi="Arial Narrow" w:cs="Arial"/>
                <w:i/>
                <w:sz w:val="18"/>
                <w:szCs w:val="20"/>
                <w:lang w:eastAsia="cs-CZ"/>
              </w:rPr>
            </w:pPr>
            <w:r w:rsidRPr="007105DC">
              <w:rPr>
                <w:rFonts w:ascii="Arial Narrow" w:eastAsia="Times New Roman" w:hAnsi="Arial Narrow" w:cs="Arial"/>
                <w:i/>
                <w:sz w:val="18"/>
                <w:szCs w:val="20"/>
                <w:lang w:eastAsia="cs-CZ"/>
              </w:rPr>
              <w:t xml:space="preserve">údaje o skutečnosti uvedené v § 20 písm. e), </w:t>
            </w:r>
            <w:r w:rsidRPr="007105DC">
              <w:rPr>
                <w:rFonts w:ascii="Arial Narrow" w:eastAsia="Times New Roman" w:hAnsi="Arial Narrow" w:cs="Arial"/>
                <w:i/>
                <w:sz w:val="18"/>
                <w:szCs w:val="20"/>
                <w:lang w:eastAsia="cs-CZ"/>
              </w:rPr>
              <w:t>pokud nastala</w:t>
            </w:r>
            <w:r w:rsidR="007105DC">
              <w:rPr>
                <w:rFonts w:ascii="Arial Narrow" w:eastAsia="Times New Roman" w:hAnsi="Arial Narrow" w:cs="Arial"/>
                <w:i/>
                <w:sz w:val="18"/>
                <w:szCs w:val="20"/>
                <w:lang w:eastAsia="cs-CZ"/>
              </w:rPr>
              <w:t>**</w:t>
            </w:r>
          </w:p>
        </w:tc>
      </w:tr>
      <w:tr w:rsidR="00713464" w:rsidRPr="00713464" w:rsidTr="007105DC">
        <w:trPr>
          <w:jc w:val="center"/>
        </w:trPr>
        <w:tc>
          <w:tcPr>
            <w:tcW w:w="426" w:type="dxa"/>
            <w:vMerge w:val="restart"/>
            <w:shd w:val="clear" w:color="auto" w:fill="D9D9D9" w:themeFill="background1" w:themeFillShade="D9"/>
            <w:vAlign w:val="center"/>
          </w:tcPr>
          <w:p w:rsidR="00713464" w:rsidRPr="00713464" w:rsidRDefault="00713464"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k)</w:t>
            </w:r>
          </w:p>
        </w:tc>
        <w:tc>
          <w:tcPr>
            <w:tcW w:w="8678" w:type="dxa"/>
          </w:tcPr>
          <w:p w:rsidR="00713464" w:rsidRPr="007105DC" w:rsidRDefault="00713464" w:rsidP="00DD32DC">
            <w:pPr>
              <w:rPr>
                <w:rFonts w:ascii="Arial Narrow" w:eastAsia="Times New Roman" w:hAnsi="Arial Narrow" w:cs="Arial"/>
                <w:sz w:val="20"/>
                <w:szCs w:val="20"/>
                <w:lang w:eastAsia="cs-CZ"/>
              </w:rPr>
            </w:pPr>
            <w:r w:rsidRPr="007105DC">
              <w:rPr>
                <w:rFonts w:ascii="Arial Narrow" w:eastAsia="Times New Roman" w:hAnsi="Arial Narrow" w:cs="Arial"/>
                <w:sz w:val="20"/>
                <w:szCs w:val="20"/>
                <w:lang w:eastAsia="cs-CZ"/>
              </w:rPr>
              <w:t>---</w:t>
            </w:r>
          </w:p>
        </w:tc>
      </w:tr>
      <w:tr w:rsidR="00713464" w:rsidRPr="00713464" w:rsidTr="007105DC">
        <w:trPr>
          <w:jc w:val="center"/>
        </w:trPr>
        <w:tc>
          <w:tcPr>
            <w:tcW w:w="426" w:type="dxa"/>
            <w:vMerge/>
            <w:shd w:val="clear" w:color="auto" w:fill="D9D9D9" w:themeFill="background1" w:themeFillShade="D9"/>
            <w:vAlign w:val="center"/>
          </w:tcPr>
          <w:p w:rsidR="00713464" w:rsidRPr="00713464" w:rsidRDefault="00713464"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713464" w:rsidRPr="007105DC" w:rsidRDefault="00713464" w:rsidP="00DD32DC">
            <w:pPr>
              <w:rPr>
                <w:rFonts w:ascii="Arial Narrow" w:eastAsia="Times New Roman" w:hAnsi="Arial Narrow" w:cs="Arial"/>
                <w:sz w:val="20"/>
                <w:szCs w:val="20"/>
                <w:lang w:eastAsia="cs-CZ"/>
              </w:rPr>
            </w:pPr>
            <w:r w:rsidRPr="007105DC">
              <w:rPr>
                <w:rFonts w:ascii="Arial Narrow" w:eastAsia="Times New Roman" w:hAnsi="Arial Narrow" w:cs="Arial"/>
                <w:i/>
                <w:sz w:val="18"/>
                <w:szCs w:val="20"/>
                <w:lang w:eastAsia="cs-CZ"/>
              </w:rPr>
              <w:t>údaje o zákazu pohřbívání a době jeho trvání, pokud byl zákaz vydán</w:t>
            </w:r>
          </w:p>
        </w:tc>
      </w:tr>
      <w:tr w:rsidR="00713464" w:rsidRPr="00713464" w:rsidTr="007105DC">
        <w:trPr>
          <w:jc w:val="center"/>
        </w:trPr>
        <w:tc>
          <w:tcPr>
            <w:tcW w:w="426" w:type="dxa"/>
            <w:vMerge w:val="restart"/>
            <w:shd w:val="clear" w:color="auto" w:fill="D9D9D9" w:themeFill="background1" w:themeFillShade="D9"/>
            <w:vAlign w:val="center"/>
          </w:tcPr>
          <w:p w:rsidR="00713464" w:rsidRPr="00713464" w:rsidRDefault="00713464" w:rsidP="00DD32DC">
            <w:pPr>
              <w:jc w:val="center"/>
              <w:rPr>
                <w:rFonts w:ascii="Arial Narrow" w:eastAsia="Times New Roman" w:hAnsi="Arial Narrow" w:cs="Arial"/>
                <w:sz w:val="20"/>
                <w:szCs w:val="20"/>
                <w:lang w:eastAsia="cs-CZ"/>
              </w:rPr>
            </w:pPr>
            <w:r w:rsidRPr="00713464">
              <w:rPr>
                <w:rFonts w:ascii="Arial Narrow" w:eastAsia="Times New Roman" w:hAnsi="Arial Narrow" w:cs="Arial"/>
                <w:sz w:val="20"/>
                <w:szCs w:val="20"/>
                <w:lang w:eastAsia="cs-CZ"/>
              </w:rPr>
              <w:t>l)</w:t>
            </w:r>
          </w:p>
        </w:tc>
        <w:tc>
          <w:tcPr>
            <w:tcW w:w="8678" w:type="dxa"/>
          </w:tcPr>
          <w:p w:rsidR="00713464" w:rsidRPr="007105DC" w:rsidRDefault="00713464" w:rsidP="00DD32DC">
            <w:pPr>
              <w:rPr>
                <w:rFonts w:ascii="Arial Narrow" w:eastAsia="Times New Roman" w:hAnsi="Arial Narrow" w:cs="Arial"/>
                <w:sz w:val="20"/>
                <w:szCs w:val="20"/>
                <w:lang w:eastAsia="cs-CZ"/>
              </w:rPr>
            </w:pPr>
            <w:r w:rsidRPr="007105DC">
              <w:rPr>
                <w:rFonts w:ascii="Arial Narrow" w:eastAsia="Times New Roman" w:hAnsi="Arial Narrow" w:cs="Arial"/>
                <w:sz w:val="20"/>
                <w:szCs w:val="20"/>
                <w:lang w:eastAsia="cs-CZ"/>
              </w:rPr>
              <w:t>---</w:t>
            </w:r>
          </w:p>
        </w:tc>
      </w:tr>
      <w:tr w:rsidR="00713464" w:rsidRPr="00713464" w:rsidTr="007105DC">
        <w:trPr>
          <w:jc w:val="center"/>
        </w:trPr>
        <w:tc>
          <w:tcPr>
            <w:tcW w:w="426" w:type="dxa"/>
            <w:vMerge/>
            <w:shd w:val="clear" w:color="auto" w:fill="D9D9D9" w:themeFill="background1" w:themeFillShade="D9"/>
            <w:vAlign w:val="center"/>
          </w:tcPr>
          <w:p w:rsidR="00713464" w:rsidRPr="00713464" w:rsidRDefault="00713464" w:rsidP="00DD32DC">
            <w:pPr>
              <w:jc w:val="center"/>
              <w:rPr>
                <w:rFonts w:ascii="Arial Narrow" w:eastAsia="Times New Roman" w:hAnsi="Arial Narrow" w:cs="Arial"/>
                <w:sz w:val="20"/>
                <w:szCs w:val="20"/>
                <w:lang w:eastAsia="cs-CZ"/>
              </w:rPr>
            </w:pPr>
          </w:p>
        </w:tc>
        <w:tc>
          <w:tcPr>
            <w:tcW w:w="8678" w:type="dxa"/>
            <w:shd w:val="clear" w:color="auto" w:fill="D9D9D9" w:themeFill="background1" w:themeFillShade="D9"/>
          </w:tcPr>
          <w:p w:rsidR="00713464" w:rsidRPr="007105DC" w:rsidRDefault="00713464" w:rsidP="00713464">
            <w:pPr>
              <w:rPr>
                <w:rFonts w:ascii="Arial Narrow" w:eastAsia="Times New Roman" w:hAnsi="Arial Narrow" w:cs="Arial"/>
                <w:i/>
                <w:sz w:val="18"/>
                <w:szCs w:val="20"/>
                <w:lang w:eastAsia="cs-CZ"/>
              </w:rPr>
            </w:pPr>
            <w:r w:rsidRPr="007105DC">
              <w:rPr>
                <w:rFonts w:ascii="Arial Narrow" w:eastAsia="Times New Roman" w:hAnsi="Arial Narrow" w:cs="Arial"/>
                <w:i/>
                <w:sz w:val="18"/>
                <w:szCs w:val="20"/>
                <w:lang w:eastAsia="cs-CZ"/>
              </w:rPr>
              <w:t xml:space="preserve">v případě rušení veřejného pohřebiště údaje o skutečnostech uvedených v § 20 písm. </w:t>
            </w:r>
            <w:r w:rsidRPr="007105DC">
              <w:rPr>
                <w:rFonts w:ascii="Arial Narrow" w:eastAsia="Times New Roman" w:hAnsi="Arial Narrow" w:cs="Arial"/>
                <w:i/>
                <w:sz w:val="18"/>
                <w:szCs w:val="20"/>
                <w:lang w:eastAsia="cs-CZ"/>
              </w:rPr>
              <w:t>g) bodech 3 až 6, pokud nastaly</w:t>
            </w:r>
          </w:p>
        </w:tc>
      </w:tr>
    </w:tbl>
    <w:p w:rsidR="00DD32DC" w:rsidRDefault="00DD32DC" w:rsidP="00DD32DC">
      <w:pPr>
        <w:spacing w:after="0" w:line="240" w:lineRule="auto"/>
        <w:rPr>
          <w:rFonts w:ascii="Times New Roman" w:eastAsia="Times New Roman" w:hAnsi="Times New Roman" w:cs="Times New Roman"/>
          <w:sz w:val="20"/>
          <w:szCs w:val="20"/>
          <w:lang w:eastAsia="cs-CZ"/>
        </w:rPr>
      </w:pPr>
    </w:p>
    <w:p w:rsidR="00DD32DC" w:rsidRPr="007105DC" w:rsidRDefault="00DD32DC" w:rsidP="00DD32DC">
      <w:pPr>
        <w:spacing w:after="0" w:line="240" w:lineRule="auto"/>
        <w:rPr>
          <w:rFonts w:ascii="Arial Narrow" w:eastAsia="Times New Roman" w:hAnsi="Arial Narrow" w:cs="Times New Roman"/>
          <w:sz w:val="20"/>
          <w:szCs w:val="16"/>
          <w:lang w:eastAsia="cs-CZ"/>
        </w:rPr>
      </w:pPr>
    </w:p>
    <w:p w:rsidR="007105DC" w:rsidRDefault="007105DC">
      <w:pPr>
        <w:rPr>
          <w:rFonts w:ascii="Arial Narrow" w:hAnsi="Arial Narrow"/>
          <w:b/>
          <w:color w:val="FF0000"/>
          <w:sz w:val="20"/>
          <w:szCs w:val="16"/>
        </w:rPr>
      </w:pPr>
      <w:r>
        <w:rPr>
          <w:rFonts w:ascii="Arial Narrow" w:hAnsi="Arial Narrow"/>
          <w:b/>
          <w:color w:val="FF0000"/>
          <w:sz w:val="20"/>
          <w:szCs w:val="16"/>
        </w:rPr>
        <w:br w:type="page"/>
      </w:r>
    </w:p>
    <w:p w:rsidR="007B1459" w:rsidRPr="007105DC" w:rsidRDefault="00713464" w:rsidP="007B1459">
      <w:pPr>
        <w:spacing w:after="0" w:line="240" w:lineRule="auto"/>
        <w:rPr>
          <w:rFonts w:ascii="Arial Narrow" w:hAnsi="Arial Narrow"/>
          <w:color w:val="FF0000"/>
          <w:sz w:val="20"/>
          <w:szCs w:val="16"/>
        </w:rPr>
      </w:pPr>
      <w:r w:rsidRPr="007105DC">
        <w:rPr>
          <w:rFonts w:ascii="Arial Narrow" w:hAnsi="Arial Narrow"/>
          <w:b/>
          <w:color w:val="FF0000"/>
          <w:sz w:val="20"/>
          <w:szCs w:val="16"/>
        </w:rPr>
        <w:t>*</w:t>
      </w:r>
      <w:r w:rsidR="007B1459" w:rsidRPr="007105DC">
        <w:rPr>
          <w:rFonts w:ascii="Arial Narrow" w:hAnsi="Arial Narrow"/>
          <w:b/>
          <w:color w:val="FF0000"/>
          <w:sz w:val="20"/>
          <w:szCs w:val="16"/>
        </w:rPr>
        <w:t xml:space="preserve">§ 29 </w:t>
      </w:r>
      <w:r w:rsidR="007B1459" w:rsidRPr="007105DC">
        <w:rPr>
          <w:rFonts w:ascii="Arial Narrow" w:hAnsi="Arial Narrow"/>
          <w:b/>
          <w:color w:val="FF0000"/>
          <w:sz w:val="20"/>
          <w:szCs w:val="16"/>
        </w:rPr>
        <w:br/>
      </w:r>
      <w:r w:rsidR="007B1459" w:rsidRPr="007105DC">
        <w:rPr>
          <w:rFonts w:ascii="Arial Narrow" w:hAnsi="Arial Narrow"/>
          <w:color w:val="FF0000"/>
          <w:sz w:val="20"/>
          <w:szCs w:val="16"/>
        </w:rPr>
        <w:t xml:space="preserve">Přechodná ustanovení </w:t>
      </w:r>
    </w:p>
    <w:p w:rsidR="007B1459" w:rsidRPr="007105DC" w:rsidRDefault="007B1459" w:rsidP="007B1459">
      <w:pPr>
        <w:spacing w:after="0" w:line="240" w:lineRule="auto"/>
        <w:rPr>
          <w:rFonts w:ascii="Arial Narrow" w:hAnsi="Arial Narrow"/>
          <w:sz w:val="20"/>
          <w:szCs w:val="16"/>
        </w:rPr>
      </w:pPr>
      <w:r w:rsidRPr="007105DC">
        <w:rPr>
          <w:rFonts w:ascii="Arial Narrow" w:hAnsi="Arial Narrow"/>
          <w:color w:val="FF0000"/>
          <w:sz w:val="20"/>
          <w:szCs w:val="16"/>
        </w:rPr>
        <w:t>(4)</w:t>
      </w:r>
      <w:r w:rsidRPr="007105DC">
        <w:rPr>
          <w:rFonts w:ascii="Arial Narrow" w:hAnsi="Arial Narrow"/>
          <w:sz w:val="20"/>
          <w:szCs w:val="16"/>
        </w:rPr>
        <w:t xml:space="preserve"> Do 2 let po nabytí účinnosti tohoto zákona je provozovatel pohřebiště povinen předložit dosavadním uživatelům hrobových míst návrh smlouvy o nájmu hrobového místa, pokud takové smlouvy již nejsou uzavřeny písemně. V případě, že dosavadní uživatel hrobového místa </w:t>
      </w:r>
      <w:r w:rsidRPr="007105DC">
        <w:rPr>
          <w:rFonts w:ascii="Arial Narrow" w:hAnsi="Arial Narrow"/>
          <w:sz w:val="20"/>
          <w:szCs w:val="16"/>
        </w:rPr>
        <w:br/>
        <w:t xml:space="preserve">a) není znám nebo není známa jeho adresa nebo adresa jeho právních nástupců a návrh nájemní smlouvy mu proto není možno doručit, je provozovatel pohřebiště povinen nejpozději do 24 měsíců ode dne nabytí účinnosti tohoto zákona na veřejně přístupném místě na veřejném pohřebišti zveřejnit výzvu k uzavření nájemní smlouvy k takovému hrobovému místu a místo (adresu), na něž se má dosavadní uživatel nebo jeho právní nástupce obrátit, spolu s upozorněním, že pokud nebude nájemní smlouva uzavřena do 30 měsíců po dni nabytí účinnosti tohoto zákona, dosavadní užívací právo k hrobovému místu zanikne; </w:t>
      </w:r>
      <w:r w:rsidRPr="007105DC">
        <w:rPr>
          <w:rFonts w:ascii="Arial Narrow" w:hAnsi="Arial Narrow"/>
          <w:sz w:val="20"/>
          <w:szCs w:val="16"/>
        </w:rPr>
        <w:br/>
      </w:r>
      <w:r w:rsidRPr="007105DC">
        <w:rPr>
          <w:rFonts w:ascii="Arial Narrow" w:hAnsi="Arial Narrow"/>
          <w:sz w:val="20"/>
          <w:szCs w:val="16"/>
        </w:rPr>
        <w:br/>
        <w:t xml:space="preserve">b) odmítne uzavřít nájemní </w:t>
      </w:r>
      <w:proofErr w:type="gramStart"/>
      <w:r w:rsidRPr="007105DC">
        <w:rPr>
          <w:rFonts w:ascii="Arial Narrow" w:hAnsi="Arial Narrow"/>
          <w:sz w:val="20"/>
          <w:szCs w:val="16"/>
        </w:rPr>
        <w:t>smlouvu nebo</w:t>
      </w:r>
      <w:proofErr w:type="gramEnd"/>
      <w:r w:rsidRPr="007105DC">
        <w:rPr>
          <w:rFonts w:ascii="Arial Narrow" w:hAnsi="Arial Narrow"/>
          <w:sz w:val="20"/>
          <w:szCs w:val="16"/>
        </w:rPr>
        <w:t xml:space="preserve"> pokud k uzavření nájemní smlouvy nedojde z důvodu jeho nečinnosti, jeho dosavadní právo k užívání hrobového místa zanikne po uplynutí 6 měsíců ode dne odmítnutí uzavřít nájemní smlouvu nebo po uplynutí 6 měsíců ode dne, kdy mu byl doručen návrh smlouvy o nájmu hrobového místa. </w:t>
      </w:r>
      <w:r w:rsidRPr="007105DC">
        <w:rPr>
          <w:rFonts w:ascii="Arial Narrow" w:hAnsi="Arial Narrow"/>
          <w:sz w:val="20"/>
          <w:szCs w:val="16"/>
        </w:rPr>
        <w:br/>
      </w:r>
      <w:r w:rsidRPr="007105DC">
        <w:rPr>
          <w:rFonts w:ascii="Arial Narrow" w:hAnsi="Arial Narrow"/>
          <w:sz w:val="20"/>
          <w:szCs w:val="16"/>
        </w:rPr>
        <w:br/>
      </w:r>
      <w:r w:rsidRPr="007105DC">
        <w:rPr>
          <w:rFonts w:ascii="Arial Narrow" w:hAnsi="Arial Narrow"/>
          <w:color w:val="FF0000"/>
          <w:sz w:val="20"/>
          <w:szCs w:val="16"/>
        </w:rPr>
        <w:t xml:space="preserve">(5) </w:t>
      </w:r>
      <w:r w:rsidRPr="007105DC">
        <w:rPr>
          <w:rFonts w:ascii="Arial Narrow" w:hAnsi="Arial Narrow"/>
          <w:sz w:val="20"/>
          <w:szCs w:val="16"/>
        </w:rPr>
        <w:t>Pokud v případech uvedených v odstavci 4 od uložení lidských pozůstatků dosud neuplynula stanovená tlecí doba, dosavadní užívací právo k hrobovému místu zanikne až jejím uplynutím. Pokud jde o náhrobky a ostatní hrobové zařízení a cenné předměty nalezené v hrobech a hrobkách, k nimž zanikne dosavadní užívací právo podle odstavce 4, postupuje provozovatel hřbitova obdobně jako při zrušení veřejného pohřebiště.</w:t>
      </w:r>
    </w:p>
    <w:p w:rsidR="007B1459" w:rsidRPr="007105DC" w:rsidRDefault="007B1459" w:rsidP="007B1459">
      <w:pPr>
        <w:spacing w:after="0" w:line="240" w:lineRule="auto"/>
        <w:rPr>
          <w:rFonts w:ascii="Arial Narrow" w:hAnsi="Arial Narrow"/>
          <w:sz w:val="20"/>
          <w:szCs w:val="16"/>
        </w:rPr>
      </w:pPr>
    </w:p>
    <w:p w:rsidR="007B1459" w:rsidRPr="007105DC" w:rsidRDefault="007105DC" w:rsidP="007B1459">
      <w:pPr>
        <w:spacing w:after="0" w:line="240" w:lineRule="auto"/>
        <w:rPr>
          <w:rFonts w:ascii="Arial Narrow" w:hAnsi="Arial Narrow"/>
          <w:color w:val="1F497D" w:themeColor="text2"/>
          <w:sz w:val="20"/>
          <w:szCs w:val="16"/>
        </w:rPr>
      </w:pPr>
      <w:r w:rsidRPr="007105DC">
        <w:rPr>
          <w:rFonts w:ascii="Arial Narrow" w:hAnsi="Arial Narrow"/>
          <w:color w:val="1F497D" w:themeColor="text2"/>
          <w:sz w:val="20"/>
          <w:szCs w:val="16"/>
        </w:rPr>
        <w:t>**</w:t>
      </w:r>
      <w:r w:rsidR="007B1459" w:rsidRPr="007105DC">
        <w:rPr>
          <w:rFonts w:ascii="Arial Narrow" w:hAnsi="Arial Narrow"/>
          <w:color w:val="1F497D" w:themeColor="text2"/>
          <w:sz w:val="20"/>
          <w:szCs w:val="16"/>
        </w:rPr>
        <w:t xml:space="preserve">§ 20 </w:t>
      </w:r>
      <w:r w:rsidR="007B1459" w:rsidRPr="007105DC">
        <w:rPr>
          <w:rFonts w:ascii="Arial Narrow" w:hAnsi="Arial Narrow"/>
          <w:color w:val="1F497D" w:themeColor="text2"/>
          <w:sz w:val="20"/>
          <w:szCs w:val="16"/>
        </w:rPr>
        <w:br/>
      </w:r>
      <w:r w:rsidR="007B1459" w:rsidRPr="007105DC">
        <w:rPr>
          <w:rFonts w:ascii="Arial Narrow" w:hAnsi="Arial Narrow"/>
          <w:color w:val="1F497D" w:themeColor="text2"/>
          <w:sz w:val="20"/>
          <w:szCs w:val="16"/>
        </w:rPr>
        <w:br/>
        <w:t xml:space="preserve">Provozovatel pohřebiště je povinen </w:t>
      </w:r>
    </w:p>
    <w:p w:rsidR="007B1459" w:rsidRPr="007105DC" w:rsidRDefault="007B1459" w:rsidP="007B1459">
      <w:pPr>
        <w:spacing w:after="0" w:line="240" w:lineRule="auto"/>
        <w:rPr>
          <w:rFonts w:ascii="Arial Narrow" w:hAnsi="Arial Narrow"/>
          <w:sz w:val="20"/>
          <w:szCs w:val="16"/>
        </w:rPr>
      </w:pPr>
      <w:r w:rsidRPr="007105DC">
        <w:rPr>
          <w:rFonts w:ascii="Arial Narrow" w:hAnsi="Arial Narrow"/>
          <w:color w:val="1F497D" w:themeColor="text2"/>
          <w:sz w:val="20"/>
          <w:szCs w:val="16"/>
        </w:rPr>
        <w:t xml:space="preserve">e) </w:t>
      </w:r>
      <w:r w:rsidRPr="007105DC">
        <w:rPr>
          <w:rFonts w:ascii="Arial Narrow" w:hAnsi="Arial Narrow"/>
          <w:sz w:val="20"/>
          <w:szCs w:val="16"/>
        </w:rPr>
        <w:t>v případě, že lidské ostatky nejsou ani po uplynutí stanovené tlecí doby zetlelé, neprodleně zajistit příslušné podklady pro stanovení nové tlecí doby ve smyslu § 22 odst. 3, na jejich základě navrhnout novou tlecí dobu, vyžádat si k ní stanovisko krajské hygienické stanice a na základě tohoto stanoviska upravit odpovídajícím způsobem řád veřejného pohřebiště,</w:t>
      </w:r>
    </w:p>
    <w:p w:rsidR="007B1459" w:rsidRDefault="007B1459" w:rsidP="007B1459">
      <w:pPr>
        <w:spacing w:after="0" w:line="240" w:lineRule="auto"/>
        <w:rPr>
          <w:rFonts w:asciiTheme="majorHAnsi" w:hAnsiTheme="majorHAnsi"/>
          <w:sz w:val="18"/>
        </w:rPr>
      </w:pPr>
    </w:p>
    <w:p w:rsidR="007B1459" w:rsidRDefault="007B1459" w:rsidP="007B1459">
      <w:pPr>
        <w:spacing w:after="0" w:line="240" w:lineRule="auto"/>
        <w:rPr>
          <w:rFonts w:asciiTheme="majorHAnsi" w:hAnsiTheme="majorHAnsi"/>
          <w:sz w:val="18"/>
        </w:rPr>
      </w:pPr>
    </w:p>
    <w:p w:rsidR="007B1459" w:rsidRPr="007B1459" w:rsidRDefault="007B1459" w:rsidP="007B1459">
      <w:pPr>
        <w:spacing w:after="0" w:line="240" w:lineRule="auto"/>
        <w:rPr>
          <w:rFonts w:asciiTheme="majorHAnsi" w:hAnsiTheme="majorHAnsi"/>
          <w:sz w:val="12"/>
          <w:szCs w:val="20"/>
        </w:rPr>
      </w:pPr>
    </w:p>
    <w:sectPr w:rsidR="007B1459" w:rsidRPr="007B145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5DC" w:rsidRDefault="007105DC" w:rsidP="007105DC">
      <w:pPr>
        <w:spacing w:after="0" w:line="240" w:lineRule="auto"/>
      </w:pPr>
      <w:r>
        <w:separator/>
      </w:r>
    </w:p>
  </w:endnote>
  <w:endnote w:type="continuationSeparator" w:id="0">
    <w:p w:rsidR="007105DC" w:rsidRDefault="007105DC" w:rsidP="0071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5DC" w:rsidRDefault="007105DC" w:rsidP="007105DC">
      <w:pPr>
        <w:spacing w:after="0" w:line="240" w:lineRule="auto"/>
      </w:pPr>
      <w:r>
        <w:separator/>
      </w:r>
    </w:p>
  </w:footnote>
  <w:footnote w:type="continuationSeparator" w:id="0">
    <w:p w:rsidR="007105DC" w:rsidRDefault="007105DC" w:rsidP="00710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DC" w:rsidRPr="007105DC" w:rsidRDefault="007105DC" w:rsidP="007105DC">
    <w:pPr>
      <w:pBdr>
        <w:bottom w:val="single" w:sz="4" w:space="1" w:color="auto"/>
      </w:pBdr>
      <w:spacing w:after="0" w:line="240" w:lineRule="auto"/>
      <w:jc w:val="center"/>
      <w:rPr>
        <w:rFonts w:ascii="Arial" w:eastAsia="Times New Roman" w:hAnsi="Arial" w:cs="Arial"/>
        <w:spacing w:val="20"/>
        <w:sz w:val="16"/>
        <w:szCs w:val="24"/>
        <w:lang w:eastAsia="cs-CZ"/>
      </w:rPr>
    </w:pPr>
    <w:r w:rsidRPr="007105DC">
      <w:rPr>
        <w:rFonts w:ascii="Arial" w:eastAsia="Times New Roman" w:hAnsi="Arial" w:cs="Arial"/>
        <w:spacing w:val="20"/>
        <w:sz w:val="16"/>
        <w:szCs w:val="24"/>
        <w:lang w:eastAsia="cs-CZ"/>
      </w:rPr>
      <w:t>EVIDENCE SOUVISEJÍCÍ S PROVOZOVÁNÍM VEŘEJNÉHO POHŘEBIŠTĚ VE TŘEBICHOVICÍCH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24A8B"/>
    <w:multiLevelType w:val="hybridMultilevel"/>
    <w:tmpl w:val="B9905DD2"/>
    <w:lvl w:ilvl="0" w:tplc="6FA440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F234509"/>
    <w:multiLevelType w:val="hybridMultilevel"/>
    <w:tmpl w:val="F8D83FCA"/>
    <w:lvl w:ilvl="0" w:tplc="04050017">
      <w:start w:val="1"/>
      <w:numFmt w:val="lowerLetter"/>
      <w:lvlText w:val="%1)"/>
      <w:lvlJc w:val="left"/>
      <w:pPr>
        <w:ind w:left="2345" w:hanging="360"/>
      </w:pPr>
      <w:rPr>
        <w:rFonts w:hint="default"/>
      </w:rPr>
    </w:lvl>
    <w:lvl w:ilvl="1" w:tplc="04050019">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459"/>
    <w:rsid w:val="00326FDC"/>
    <w:rsid w:val="007105DC"/>
    <w:rsid w:val="00713464"/>
    <w:rsid w:val="007B1459"/>
    <w:rsid w:val="00DD3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B1459"/>
    <w:rPr>
      <w:color w:val="0000FF"/>
      <w:u w:val="single"/>
    </w:rPr>
  </w:style>
  <w:style w:type="paragraph" w:styleId="Odstavecseseznamem">
    <w:name w:val="List Paragraph"/>
    <w:basedOn w:val="Normln"/>
    <w:uiPriority w:val="34"/>
    <w:qFormat/>
    <w:rsid w:val="007B1459"/>
    <w:pPr>
      <w:ind w:left="720"/>
      <w:contextualSpacing/>
    </w:pPr>
  </w:style>
  <w:style w:type="table" w:styleId="Mkatabulky">
    <w:name w:val="Table Grid"/>
    <w:basedOn w:val="Normlntabulka"/>
    <w:uiPriority w:val="59"/>
    <w:rsid w:val="00DD3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7105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05DC"/>
  </w:style>
  <w:style w:type="paragraph" w:styleId="Zpat">
    <w:name w:val="footer"/>
    <w:basedOn w:val="Normln"/>
    <w:link w:val="ZpatChar"/>
    <w:uiPriority w:val="99"/>
    <w:unhideWhenUsed/>
    <w:rsid w:val="007105DC"/>
    <w:pPr>
      <w:tabs>
        <w:tab w:val="center" w:pos="4536"/>
        <w:tab w:val="right" w:pos="9072"/>
      </w:tabs>
      <w:spacing w:after="0" w:line="240" w:lineRule="auto"/>
    </w:pPr>
  </w:style>
  <w:style w:type="character" w:customStyle="1" w:styleId="ZpatChar">
    <w:name w:val="Zápatí Char"/>
    <w:basedOn w:val="Standardnpsmoodstavce"/>
    <w:link w:val="Zpat"/>
    <w:uiPriority w:val="99"/>
    <w:rsid w:val="00710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B1459"/>
    <w:rPr>
      <w:color w:val="0000FF"/>
      <w:u w:val="single"/>
    </w:rPr>
  </w:style>
  <w:style w:type="paragraph" w:styleId="Odstavecseseznamem">
    <w:name w:val="List Paragraph"/>
    <w:basedOn w:val="Normln"/>
    <w:uiPriority w:val="34"/>
    <w:qFormat/>
    <w:rsid w:val="007B1459"/>
    <w:pPr>
      <w:ind w:left="720"/>
      <w:contextualSpacing/>
    </w:pPr>
  </w:style>
  <w:style w:type="table" w:styleId="Mkatabulky">
    <w:name w:val="Table Grid"/>
    <w:basedOn w:val="Normlntabulka"/>
    <w:uiPriority w:val="59"/>
    <w:rsid w:val="00DD3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7105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05DC"/>
  </w:style>
  <w:style w:type="paragraph" w:styleId="Zpat">
    <w:name w:val="footer"/>
    <w:basedOn w:val="Normln"/>
    <w:link w:val="ZpatChar"/>
    <w:uiPriority w:val="99"/>
    <w:unhideWhenUsed/>
    <w:rsid w:val="007105DC"/>
    <w:pPr>
      <w:tabs>
        <w:tab w:val="center" w:pos="4536"/>
        <w:tab w:val="right" w:pos="9072"/>
      </w:tabs>
      <w:spacing w:after="0" w:line="240" w:lineRule="auto"/>
    </w:pPr>
  </w:style>
  <w:style w:type="character" w:customStyle="1" w:styleId="ZpatChar">
    <w:name w:val="Zápatí Char"/>
    <w:basedOn w:val="Standardnpsmoodstavce"/>
    <w:link w:val="Zpat"/>
    <w:uiPriority w:val="99"/>
    <w:rsid w:val="00710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4628">
      <w:bodyDiv w:val="1"/>
      <w:marLeft w:val="0"/>
      <w:marRight w:val="0"/>
      <w:marTop w:val="0"/>
      <w:marBottom w:val="0"/>
      <w:divBdr>
        <w:top w:val="none" w:sz="0" w:space="0" w:color="auto"/>
        <w:left w:val="none" w:sz="0" w:space="0" w:color="auto"/>
        <w:bottom w:val="none" w:sz="0" w:space="0" w:color="auto"/>
        <w:right w:val="none" w:sz="0" w:space="0" w:color="auto"/>
      </w:divBdr>
      <w:divsChild>
        <w:div w:id="1972056665">
          <w:marLeft w:val="0"/>
          <w:marRight w:val="0"/>
          <w:marTop w:val="0"/>
          <w:marBottom w:val="0"/>
          <w:divBdr>
            <w:top w:val="none" w:sz="0" w:space="0" w:color="auto"/>
            <w:left w:val="none" w:sz="0" w:space="0" w:color="auto"/>
            <w:bottom w:val="none" w:sz="0" w:space="0" w:color="auto"/>
            <w:right w:val="none" w:sz="0" w:space="0" w:color="auto"/>
          </w:divBdr>
        </w:div>
      </w:divsChild>
    </w:div>
    <w:div w:id="1111783206">
      <w:bodyDiv w:val="1"/>
      <w:marLeft w:val="0"/>
      <w:marRight w:val="0"/>
      <w:marTop w:val="0"/>
      <w:marBottom w:val="0"/>
      <w:divBdr>
        <w:top w:val="none" w:sz="0" w:space="0" w:color="auto"/>
        <w:left w:val="none" w:sz="0" w:space="0" w:color="auto"/>
        <w:bottom w:val="none" w:sz="0" w:space="0" w:color="auto"/>
        <w:right w:val="none" w:sz="0" w:space="0" w:color="auto"/>
      </w:divBdr>
      <w:divsChild>
        <w:div w:id="215120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497</Words>
  <Characters>2939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dc:creator>
  <cp:lastModifiedBy>Marketa</cp:lastModifiedBy>
  <cp:revision>1</cp:revision>
  <dcterms:created xsi:type="dcterms:W3CDTF">2013-06-09T20:15:00Z</dcterms:created>
  <dcterms:modified xsi:type="dcterms:W3CDTF">2013-06-09T20:56:00Z</dcterms:modified>
</cp:coreProperties>
</file>